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363CE" w14:textId="77777777" w:rsidR="003154A2" w:rsidRPr="00595CD4" w:rsidRDefault="003154A2" w:rsidP="00595CD4">
      <w:pPr>
        <w:spacing w:before="120" w:after="120" w:line="360" w:lineRule="auto"/>
        <w:jc w:val="center"/>
        <w:rPr>
          <w:rFonts w:ascii="Arial" w:hAnsi="Arial" w:cs="Arial"/>
          <w:sz w:val="28"/>
          <w:szCs w:val="28"/>
        </w:rPr>
      </w:pPr>
      <w:r w:rsidRPr="00595CD4">
        <w:rPr>
          <w:rFonts w:ascii="Arial" w:hAnsi="Arial" w:cs="Arial"/>
          <w:b/>
          <w:sz w:val="28"/>
          <w:szCs w:val="28"/>
        </w:rPr>
        <w:t xml:space="preserve">PROGRAMA </w:t>
      </w:r>
      <w:r w:rsidR="0081752E" w:rsidRPr="00595CD4">
        <w:rPr>
          <w:rFonts w:ascii="Arial" w:hAnsi="Arial" w:cs="Arial"/>
          <w:b/>
          <w:sz w:val="28"/>
          <w:szCs w:val="28"/>
        </w:rPr>
        <w:t>42</w:t>
      </w:r>
      <w:r w:rsidR="00386B40" w:rsidRPr="00595CD4">
        <w:rPr>
          <w:rFonts w:ascii="Arial" w:hAnsi="Arial" w:cs="Arial"/>
          <w:b/>
          <w:sz w:val="28"/>
          <w:szCs w:val="28"/>
        </w:rPr>
        <w:t>IA</w:t>
      </w:r>
    </w:p>
    <w:p w14:paraId="7F7C76C3" w14:textId="50DD607D" w:rsidR="003154A2" w:rsidRPr="00595CD4" w:rsidRDefault="00386B40" w:rsidP="00DF027D">
      <w:pPr>
        <w:spacing w:before="120" w:after="120" w:line="360" w:lineRule="auto"/>
        <w:jc w:val="center"/>
        <w:rPr>
          <w:rFonts w:ascii="Arial" w:hAnsi="Arial" w:cs="Arial"/>
          <w:b/>
          <w:sz w:val="26"/>
          <w:szCs w:val="26"/>
        </w:rPr>
      </w:pPr>
      <w:r w:rsidRPr="00595CD4">
        <w:rPr>
          <w:rFonts w:ascii="Arial" w:hAnsi="Arial" w:cs="Arial"/>
          <w:b/>
          <w:sz w:val="26"/>
          <w:szCs w:val="26"/>
        </w:rPr>
        <w:t>C</w:t>
      </w:r>
      <w:r w:rsidR="00234E47" w:rsidRPr="00595CD4">
        <w:rPr>
          <w:rFonts w:ascii="Arial" w:hAnsi="Arial" w:cs="Arial"/>
          <w:b/>
          <w:sz w:val="26"/>
          <w:szCs w:val="26"/>
        </w:rPr>
        <w:t>0</w:t>
      </w:r>
      <w:r w:rsidRPr="00595CD4">
        <w:rPr>
          <w:rFonts w:ascii="Arial" w:hAnsi="Arial" w:cs="Arial"/>
          <w:b/>
          <w:sz w:val="26"/>
          <w:szCs w:val="26"/>
        </w:rPr>
        <w:t>9</w:t>
      </w:r>
      <w:r w:rsidR="00234E47" w:rsidRPr="00595CD4">
        <w:rPr>
          <w:rFonts w:ascii="Arial" w:hAnsi="Arial" w:cs="Arial"/>
          <w:b/>
          <w:sz w:val="26"/>
          <w:szCs w:val="26"/>
        </w:rPr>
        <w:t>.</w:t>
      </w:r>
      <w:r w:rsidR="00397A1D" w:rsidRPr="00595CD4">
        <w:rPr>
          <w:rFonts w:ascii="Arial" w:hAnsi="Arial" w:cs="Arial"/>
          <w:b/>
          <w:sz w:val="26"/>
          <w:szCs w:val="26"/>
        </w:rPr>
        <w:t>I</w:t>
      </w:r>
      <w:r w:rsidR="00234E47" w:rsidRPr="00595CD4">
        <w:rPr>
          <w:rFonts w:ascii="Arial" w:hAnsi="Arial" w:cs="Arial"/>
          <w:b/>
          <w:sz w:val="26"/>
          <w:szCs w:val="26"/>
        </w:rPr>
        <w:t>0</w:t>
      </w:r>
      <w:r w:rsidRPr="00595CD4">
        <w:rPr>
          <w:rFonts w:ascii="Arial" w:hAnsi="Arial" w:cs="Arial"/>
          <w:b/>
          <w:sz w:val="26"/>
          <w:szCs w:val="26"/>
        </w:rPr>
        <w:t xml:space="preserve">1 </w:t>
      </w:r>
      <w:r w:rsidR="00DA0018" w:rsidRPr="00595CD4">
        <w:rPr>
          <w:rFonts w:ascii="Arial" w:hAnsi="Arial" w:cs="Arial"/>
          <w:b/>
          <w:sz w:val="26"/>
          <w:szCs w:val="26"/>
        </w:rPr>
        <w:t>HIDRÓGENO RENOVABLE: UN PROYECTO PAÍS</w:t>
      </w:r>
    </w:p>
    <w:p w14:paraId="1607BF52" w14:textId="2ED79907" w:rsidR="00517824" w:rsidRPr="00517824" w:rsidRDefault="00517824" w:rsidP="00DF027D">
      <w:pPr>
        <w:spacing w:before="120" w:after="120" w:line="360" w:lineRule="auto"/>
        <w:rPr>
          <w:rFonts w:ascii="Arial" w:hAnsi="Arial" w:cs="Arial"/>
          <w:b/>
          <w:sz w:val="22"/>
          <w:szCs w:val="22"/>
        </w:rPr>
      </w:pPr>
      <w:r w:rsidRPr="00517824">
        <w:rPr>
          <w:rFonts w:ascii="Arial" w:hAnsi="Arial" w:cs="Arial"/>
          <w:b/>
          <w:sz w:val="22"/>
          <w:szCs w:val="22"/>
        </w:rPr>
        <w:t xml:space="preserve">1. </w:t>
      </w:r>
      <w:r w:rsidR="00DA0018" w:rsidRPr="00517824">
        <w:rPr>
          <w:rFonts w:ascii="Arial" w:hAnsi="Arial" w:cs="Arial"/>
          <w:b/>
          <w:sz w:val="22"/>
          <w:szCs w:val="22"/>
        </w:rPr>
        <w:t xml:space="preserve">DENOMINACIÓN DEL COMPONENTE </w:t>
      </w:r>
    </w:p>
    <w:p w14:paraId="42436968" w14:textId="20167218" w:rsidR="00C0204D" w:rsidRPr="00C017AE" w:rsidRDefault="00C017AE" w:rsidP="00DF027D">
      <w:pPr>
        <w:spacing w:before="120" w:after="120" w:line="360" w:lineRule="auto"/>
        <w:ind w:firstLine="708"/>
        <w:jc w:val="both"/>
        <w:rPr>
          <w:rFonts w:ascii="Arial" w:hAnsi="Arial" w:cs="Arial"/>
          <w:sz w:val="22"/>
          <w:szCs w:val="22"/>
        </w:rPr>
      </w:pPr>
      <w:r w:rsidRPr="00686BEE">
        <w:rPr>
          <w:rFonts w:ascii="Arial" w:hAnsi="Arial" w:cs="Arial"/>
          <w:sz w:val="22"/>
          <w:szCs w:val="22"/>
        </w:rPr>
        <w:t>Hidrógeno renovable: un proyecto país</w:t>
      </w:r>
      <w:r w:rsidR="00386B40" w:rsidRPr="00C017AE">
        <w:rPr>
          <w:rFonts w:ascii="Arial" w:hAnsi="Arial" w:cs="Arial"/>
          <w:sz w:val="22"/>
          <w:szCs w:val="22"/>
        </w:rPr>
        <w:t>.</w:t>
      </w:r>
    </w:p>
    <w:p w14:paraId="4F17CCED" w14:textId="1823D751" w:rsidR="00517824" w:rsidRPr="00517824" w:rsidRDefault="00517824" w:rsidP="00DF027D">
      <w:pPr>
        <w:spacing w:before="120" w:after="120" w:line="360" w:lineRule="auto"/>
        <w:rPr>
          <w:rFonts w:ascii="Arial" w:hAnsi="Arial" w:cs="Arial"/>
          <w:b/>
          <w:sz w:val="22"/>
          <w:szCs w:val="22"/>
        </w:rPr>
      </w:pPr>
      <w:r w:rsidRPr="00517824">
        <w:rPr>
          <w:rFonts w:ascii="Arial" w:hAnsi="Arial" w:cs="Arial"/>
          <w:b/>
          <w:sz w:val="22"/>
          <w:szCs w:val="22"/>
        </w:rPr>
        <w:t xml:space="preserve">2. </w:t>
      </w:r>
      <w:r w:rsidR="00DA0018" w:rsidRPr="00517824">
        <w:rPr>
          <w:rFonts w:ascii="Arial" w:hAnsi="Arial" w:cs="Arial"/>
          <w:b/>
          <w:sz w:val="22"/>
          <w:szCs w:val="22"/>
        </w:rPr>
        <w:t>DESCRIPCIÓN GENERAL DEL COMPONENTE</w:t>
      </w:r>
    </w:p>
    <w:p w14:paraId="5F1D75AA" w14:textId="5856B967" w:rsidR="00386B40" w:rsidRDefault="00386B40" w:rsidP="00DF027D">
      <w:pPr>
        <w:spacing w:before="120" w:after="120" w:line="360" w:lineRule="auto"/>
        <w:ind w:firstLine="708"/>
        <w:jc w:val="both"/>
        <w:rPr>
          <w:rFonts w:ascii="Arial" w:hAnsi="Arial" w:cs="Arial"/>
          <w:sz w:val="22"/>
          <w:szCs w:val="22"/>
        </w:rPr>
      </w:pPr>
      <w:r w:rsidRPr="00386B40">
        <w:rPr>
          <w:rFonts w:ascii="Arial" w:hAnsi="Arial" w:cs="Arial"/>
          <w:sz w:val="22"/>
          <w:szCs w:val="22"/>
        </w:rPr>
        <w:t xml:space="preserve">El objetivo general es posicionar a España como referente tecnológico en producción y aprovechamiento de hidrógeno renovable, facilitando las condiciones que permitan que el hidrógeno renovable pueda contribuir de forma significativa a la </w:t>
      </w:r>
      <w:proofErr w:type="spellStart"/>
      <w:r w:rsidRPr="00386B40">
        <w:rPr>
          <w:rFonts w:ascii="Arial" w:hAnsi="Arial" w:cs="Arial"/>
          <w:sz w:val="22"/>
          <w:szCs w:val="22"/>
        </w:rPr>
        <w:t>descarbonización</w:t>
      </w:r>
      <w:proofErr w:type="spellEnd"/>
      <w:r w:rsidRPr="00386B40">
        <w:rPr>
          <w:rFonts w:ascii="Arial" w:hAnsi="Arial" w:cs="Arial"/>
          <w:sz w:val="22"/>
          <w:szCs w:val="22"/>
        </w:rPr>
        <w:t xml:space="preserve"> de la economía y al posicionamiento tecnológico e industrial de España y la Unión Europea en este sector de futuro.</w:t>
      </w:r>
    </w:p>
    <w:p w14:paraId="6361E68B" w14:textId="3207F4AD" w:rsidR="00517824" w:rsidRDefault="00517824" w:rsidP="00DF027D">
      <w:pPr>
        <w:spacing w:before="120" w:after="120" w:line="360" w:lineRule="auto"/>
        <w:rPr>
          <w:rFonts w:ascii="Arial" w:hAnsi="Arial" w:cs="Arial"/>
          <w:b/>
          <w:sz w:val="22"/>
          <w:szCs w:val="22"/>
        </w:rPr>
      </w:pPr>
      <w:r w:rsidRPr="00517824">
        <w:rPr>
          <w:rFonts w:ascii="Arial" w:hAnsi="Arial" w:cs="Arial"/>
          <w:b/>
          <w:sz w:val="22"/>
          <w:szCs w:val="22"/>
        </w:rPr>
        <w:t xml:space="preserve">3. </w:t>
      </w:r>
      <w:r w:rsidR="00DA0018" w:rsidRPr="00517824">
        <w:rPr>
          <w:rFonts w:ascii="Arial" w:hAnsi="Arial" w:cs="Arial"/>
          <w:b/>
          <w:sz w:val="22"/>
          <w:szCs w:val="22"/>
        </w:rPr>
        <w:t>PRINCIPALES OBJETIVOS DEL COMPONENTE</w:t>
      </w:r>
    </w:p>
    <w:p w14:paraId="3DD641BB" w14:textId="77777777" w:rsidR="00386B40" w:rsidRPr="00595CD4" w:rsidRDefault="00386B40" w:rsidP="00DF027D">
      <w:pPr>
        <w:pStyle w:val="Prrafodelista"/>
        <w:numPr>
          <w:ilvl w:val="0"/>
          <w:numId w:val="11"/>
        </w:numPr>
        <w:spacing w:before="120" w:after="120" w:line="360" w:lineRule="auto"/>
        <w:ind w:left="714" w:hanging="357"/>
        <w:contextualSpacing w:val="0"/>
        <w:jc w:val="both"/>
        <w:rPr>
          <w:rFonts w:ascii="Arial" w:hAnsi="Arial" w:cs="Arial"/>
          <w:sz w:val="22"/>
          <w:szCs w:val="22"/>
        </w:rPr>
      </w:pPr>
      <w:r w:rsidRPr="00595CD4">
        <w:rPr>
          <w:rFonts w:ascii="Arial" w:hAnsi="Arial" w:cs="Arial"/>
          <w:sz w:val="22"/>
          <w:szCs w:val="22"/>
        </w:rPr>
        <w:t>Los objetivos específicos que se persiguen con este componente son:</w:t>
      </w:r>
    </w:p>
    <w:p w14:paraId="5FA4779A" w14:textId="77777777" w:rsidR="00C0204D" w:rsidRDefault="00386B40" w:rsidP="00DF027D">
      <w:pPr>
        <w:pStyle w:val="Prrafodelista"/>
        <w:numPr>
          <w:ilvl w:val="0"/>
          <w:numId w:val="11"/>
        </w:numPr>
        <w:spacing w:before="120" w:after="120" w:line="360" w:lineRule="auto"/>
        <w:ind w:left="714" w:hanging="357"/>
        <w:contextualSpacing w:val="0"/>
        <w:jc w:val="both"/>
        <w:rPr>
          <w:rFonts w:ascii="Arial" w:hAnsi="Arial" w:cs="Arial"/>
          <w:sz w:val="22"/>
          <w:szCs w:val="22"/>
        </w:rPr>
      </w:pPr>
      <w:r w:rsidRPr="00386B40">
        <w:rPr>
          <w:rFonts w:ascii="Arial" w:hAnsi="Arial" w:cs="Arial"/>
          <w:sz w:val="22"/>
          <w:szCs w:val="22"/>
        </w:rPr>
        <w:t xml:space="preserve">Definir un marco estratégico de actuación que identifique el potencial, las oportunidades y los retos, y permita orientar las actuaciones mediante la publicación de la “Hoja de ruta del hidrógeno: una apuesta por el hidrógeno renovable”. El hidrógeno renovable está llamado a ser un valioso vector energético para usos finales donde sea la solución más eficiente en el proceso de </w:t>
      </w:r>
      <w:proofErr w:type="spellStart"/>
      <w:r w:rsidRPr="00386B40">
        <w:rPr>
          <w:rFonts w:ascii="Arial" w:hAnsi="Arial" w:cs="Arial"/>
          <w:sz w:val="22"/>
          <w:szCs w:val="22"/>
        </w:rPr>
        <w:t>descarbonización</w:t>
      </w:r>
      <w:proofErr w:type="spellEnd"/>
      <w:r w:rsidRPr="00386B40">
        <w:rPr>
          <w:rFonts w:ascii="Arial" w:hAnsi="Arial" w:cs="Arial"/>
          <w:sz w:val="22"/>
          <w:szCs w:val="22"/>
        </w:rPr>
        <w:t>, como la industria intensiva en consumo de hidrógeno como materia prima (refino de petróleo, fertilizantes y productos químicos, entre otros) y procesos industriales de alta temperatura, el transporte pesado por carretera de larga distancia, transporte marítimo, transporte ferroviario o aviación. Por tanto, es necesario fomentar un entorno favorable para la oferta y demanda de hidrógeno renovable. Las soluciones basadas en hidrógeno renovable para islas y sistemas energéticos aislados presentan también un gran potencial.</w:t>
      </w:r>
    </w:p>
    <w:p w14:paraId="438D3286" w14:textId="77777777" w:rsidR="00386B40" w:rsidRPr="00386B40" w:rsidRDefault="00386B40" w:rsidP="00DF027D">
      <w:pPr>
        <w:pStyle w:val="Prrafodelista"/>
        <w:numPr>
          <w:ilvl w:val="0"/>
          <w:numId w:val="11"/>
        </w:numPr>
        <w:spacing w:before="120" w:after="120" w:line="360" w:lineRule="auto"/>
        <w:ind w:left="714" w:hanging="357"/>
        <w:contextualSpacing w:val="0"/>
        <w:jc w:val="both"/>
        <w:rPr>
          <w:rFonts w:ascii="Arial" w:hAnsi="Arial" w:cs="Arial"/>
          <w:sz w:val="22"/>
          <w:szCs w:val="22"/>
        </w:rPr>
      </w:pPr>
      <w:r w:rsidRPr="00386B40">
        <w:rPr>
          <w:rFonts w:ascii="Arial" w:hAnsi="Arial" w:cs="Arial"/>
          <w:sz w:val="22"/>
          <w:szCs w:val="22"/>
        </w:rPr>
        <w:t xml:space="preserve">Impulsar la cadena de valor industrial innovadora y de conocimiento basada en </w:t>
      </w:r>
      <w:proofErr w:type="spellStart"/>
      <w:r w:rsidRPr="00386B40">
        <w:rPr>
          <w:rFonts w:ascii="Arial" w:hAnsi="Arial" w:cs="Arial"/>
          <w:sz w:val="22"/>
          <w:szCs w:val="22"/>
        </w:rPr>
        <w:t>PYMEs</w:t>
      </w:r>
      <w:proofErr w:type="spellEnd"/>
      <w:r w:rsidRPr="00386B40">
        <w:rPr>
          <w:rFonts w:ascii="Arial" w:hAnsi="Arial" w:cs="Arial"/>
          <w:sz w:val="22"/>
          <w:szCs w:val="22"/>
        </w:rPr>
        <w:t xml:space="preserve"> de alto contenido tecnológico y los centros tecnológicos, incrementando sus capacidades productivas y la transferencia tecnológica.</w:t>
      </w:r>
    </w:p>
    <w:p w14:paraId="1AD827E2" w14:textId="77777777" w:rsidR="00386B40" w:rsidRPr="00386B40" w:rsidRDefault="00386B40" w:rsidP="00DF027D">
      <w:pPr>
        <w:pStyle w:val="Prrafodelista"/>
        <w:numPr>
          <w:ilvl w:val="0"/>
          <w:numId w:val="11"/>
        </w:numPr>
        <w:spacing w:before="120" w:after="120" w:line="360" w:lineRule="auto"/>
        <w:ind w:left="714" w:hanging="357"/>
        <w:contextualSpacing w:val="0"/>
        <w:jc w:val="both"/>
        <w:rPr>
          <w:rFonts w:ascii="Arial" w:hAnsi="Arial" w:cs="Arial"/>
          <w:sz w:val="22"/>
          <w:szCs w:val="22"/>
        </w:rPr>
      </w:pPr>
      <w:r w:rsidRPr="00386B40">
        <w:rPr>
          <w:rFonts w:ascii="Arial" w:hAnsi="Arial" w:cs="Arial"/>
          <w:sz w:val="22"/>
          <w:szCs w:val="22"/>
        </w:rPr>
        <w:t>Crear un</w:t>
      </w:r>
      <w:r w:rsidR="00F54D02">
        <w:rPr>
          <w:rFonts w:ascii="Arial" w:hAnsi="Arial" w:cs="Arial"/>
          <w:sz w:val="22"/>
          <w:szCs w:val="22"/>
        </w:rPr>
        <w:t>o o varios</w:t>
      </w:r>
      <w:r w:rsidRPr="00386B40">
        <w:rPr>
          <w:rFonts w:ascii="Arial" w:hAnsi="Arial" w:cs="Arial"/>
          <w:sz w:val="22"/>
          <w:szCs w:val="22"/>
        </w:rPr>
        <w:t xml:space="preserve"> clúster</w:t>
      </w:r>
      <w:r w:rsidR="00F54D02">
        <w:rPr>
          <w:rFonts w:ascii="Arial" w:hAnsi="Arial" w:cs="Arial"/>
          <w:sz w:val="22"/>
          <w:szCs w:val="22"/>
        </w:rPr>
        <w:t>es</w:t>
      </w:r>
      <w:r w:rsidRPr="00386B40">
        <w:rPr>
          <w:rFonts w:ascii="Arial" w:hAnsi="Arial" w:cs="Arial"/>
          <w:sz w:val="22"/>
          <w:szCs w:val="22"/>
        </w:rPr>
        <w:t xml:space="preserve"> de conocimiento y soluciones del hidrógeno renovable aplicado a la integración sectorial, basado en el aprovechamiento de economías de escala a través de la construcción de un electrolizador de alta capacidad de producción de hidrógeno renovable ubicado en un polo industrial intensivo en el consumo de hidrógeno, incluyendo la adaptación de los procesos industriales de </w:t>
      </w:r>
      <w:r w:rsidRPr="00386B40">
        <w:rPr>
          <w:rFonts w:ascii="Arial" w:hAnsi="Arial" w:cs="Arial"/>
          <w:sz w:val="22"/>
          <w:szCs w:val="22"/>
        </w:rPr>
        <w:lastRenderedPageBreak/>
        <w:t xml:space="preserve">los consumidores. De esta forma se actuaría de manera combinada sobre las principales barreras que impiden el despliegue del hidrógeno renovable: el coste de los electrolizadores, la transformación del hidrógeno renovable en la materia prima/vector energético adecuado para los usos finales y la integración de éste en los procesos industriales de los consumidores. Asimismo, el hidrógeno renovable debería introducirse en los modos de transporte más difíciles de </w:t>
      </w:r>
      <w:proofErr w:type="spellStart"/>
      <w:r w:rsidRPr="00386B40">
        <w:rPr>
          <w:rFonts w:ascii="Arial" w:hAnsi="Arial" w:cs="Arial"/>
          <w:sz w:val="22"/>
          <w:szCs w:val="22"/>
        </w:rPr>
        <w:t>descarbonizar</w:t>
      </w:r>
      <w:proofErr w:type="spellEnd"/>
      <w:r w:rsidRPr="00386B40">
        <w:rPr>
          <w:rFonts w:ascii="Arial" w:hAnsi="Arial" w:cs="Arial"/>
          <w:sz w:val="22"/>
          <w:szCs w:val="22"/>
        </w:rPr>
        <w:t>, aprovechando la intensidad del transporte multimodal en las áreas de gran consumo de hidrógeno.</w:t>
      </w:r>
    </w:p>
    <w:p w14:paraId="717EBD79" w14:textId="77777777" w:rsidR="00386B40" w:rsidRPr="00386B40" w:rsidRDefault="00386B40" w:rsidP="00DF027D">
      <w:pPr>
        <w:pStyle w:val="Prrafodelista"/>
        <w:numPr>
          <w:ilvl w:val="0"/>
          <w:numId w:val="11"/>
        </w:numPr>
        <w:spacing w:before="120" w:after="120" w:line="360" w:lineRule="auto"/>
        <w:ind w:left="714" w:hanging="357"/>
        <w:contextualSpacing w:val="0"/>
        <w:jc w:val="both"/>
        <w:rPr>
          <w:rFonts w:ascii="Arial" w:hAnsi="Arial" w:cs="Arial"/>
          <w:sz w:val="22"/>
          <w:szCs w:val="22"/>
        </w:rPr>
      </w:pPr>
      <w:r w:rsidRPr="00386B40">
        <w:rPr>
          <w:rFonts w:ascii="Arial" w:hAnsi="Arial" w:cs="Arial"/>
          <w:sz w:val="22"/>
          <w:szCs w:val="22"/>
        </w:rPr>
        <w:t>Desarrollar proyectos pioneros de generación de hidrógeno renovable en otros polos industriales, en proyectos asociados al sector del transporte y en sistemas energéticos aislados, utilizando el potencial de generación eléctrica renovable para la producción de hidrógeno renovable que complemente el proceso de electrificación, incrementando la autonomía energética, reduciendo la huella ambiental y permitiendo el posicionamiento, en su caso, como destinos turísticos sostenibles.</w:t>
      </w:r>
    </w:p>
    <w:p w14:paraId="2637C9E3" w14:textId="39C34AEB" w:rsidR="00386B40" w:rsidRDefault="00386B40" w:rsidP="00DF027D">
      <w:pPr>
        <w:pStyle w:val="Prrafodelista"/>
        <w:numPr>
          <w:ilvl w:val="0"/>
          <w:numId w:val="11"/>
        </w:numPr>
        <w:spacing w:before="120" w:after="120" w:line="360" w:lineRule="auto"/>
        <w:ind w:left="714" w:hanging="357"/>
        <w:contextualSpacing w:val="0"/>
        <w:jc w:val="both"/>
        <w:rPr>
          <w:rFonts w:ascii="Arial" w:hAnsi="Arial" w:cs="Arial"/>
          <w:sz w:val="22"/>
          <w:szCs w:val="22"/>
        </w:rPr>
      </w:pPr>
      <w:r w:rsidRPr="00386B40">
        <w:rPr>
          <w:rFonts w:ascii="Arial" w:hAnsi="Arial" w:cs="Arial"/>
          <w:sz w:val="22"/>
          <w:szCs w:val="22"/>
        </w:rPr>
        <w:t>Integrar la cadena de valor nacional del hidrógeno renovable en la cadena de valor comunitaria, a través de iniciativas como la participación en el IPCEI de hidrógeno</w:t>
      </w:r>
      <w:r w:rsidR="00DA0018">
        <w:rPr>
          <w:rFonts w:ascii="Arial" w:hAnsi="Arial" w:cs="Arial"/>
          <w:sz w:val="22"/>
          <w:szCs w:val="22"/>
        </w:rPr>
        <w:t>.</w:t>
      </w:r>
    </w:p>
    <w:p w14:paraId="16900CAB" w14:textId="764257CD" w:rsidR="00517824" w:rsidRPr="00517824" w:rsidRDefault="00517824" w:rsidP="00DF027D">
      <w:pPr>
        <w:spacing w:before="120" w:after="120" w:line="360" w:lineRule="auto"/>
        <w:rPr>
          <w:rFonts w:ascii="Arial" w:hAnsi="Arial" w:cs="Arial"/>
          <w:b/>
          <w:sz w:val="22"/>
          <w:szCs w:val="22"/>
        </w:rPr>
      </w:pPr>
      <w:r w:rsidRPr="00517824">
        <w:rPr>
          <w:rFonts w:ascii="Arial" w:hAnsi="Arial" w:cs="Arial"/>
          <w:b/>
          <w:sz w:val="22"/>
          <w:szCs w:val="22"/>
        </w:rPr>
        <w:t xml:space="preserve">4. </w:t>
      </w:r>
      <w:r w:rsidR="00DA0018" w:rsidRPr="00517824">
        <w:rPr>
          <w:rFonts w:ascii="Arial" w:hAnsi="Arial" w:cs="Arial"/>
          <w:b/>
          <w:sz w:val="22"/>
          <w:szCs w:val="22"/>
        </w:rPr>
        <w:t>DESCRIPCIÓN DE LA INVERSIÓN</w:t>
      </w:r>
    </w:p>
    <w:p w14:paraId="2F42BBBD" w14:textId="77777777" w:rsidR="00386B40" w:rsidRPr="00386B40" w:rsidRDefault="00386B40" w:rsidP="00DF027D">
      <w:pPr>
        <w:spacing w:before="120" w:after="120" w:line="360" w:lineRule="auto"/>
        <w:ind w:firstLine="709"/>
        <w:jc w:val="both"/>
        <w:rPr>
          <w:rFonts w:ascii="Arial" w:hAnsi="Arial" w:cs="Arial"/>
          <w:sz w:val="22"/>
          <w:szCs w:val="22"/>
        </w:rPr>
      </w:pPr>
      <w:r w:rsidRPr="00386B40">
        <w:rPr>
          <w:rFonts w:ascii="Arial" w:hAnsi="Arial" w:cs="Arial"/>
          <w:sz w:val="22"/>
          <w:szCs w:val="22"/>
        </w:rPr>
        <w:t>El programa 42IA “C09.I01 Hidrógeno renovable: un proyecto país” asume diversas líneas de actuación para la realización de inversiones y/o ayudas en materia de Transición Energética dentro de las competencias de la Secretaría de Estado de Energía, de forma coordinada del Instituto para la Diversificación y Ahorro de la Energía (IDAE).</w:t>
      </w:r>
    </w:p>
    <w:p w14:paraId="2E28FD4E" w14:textId="77777777" w:rsidR="00386B40" w:rsidRPr="00386B40" w:rsidRDefault="00386B40" w:rsidP="00DF027D">
      <w:pPr>
        <w:spacing w:before="120" w:after="120" w:line="360" w:lineRule="auto"/>
        <w:ind w:firstLine="709"/>
        <w:jc w:val="both"/>
        <w:rPr>
          <w:rFonts w:ascii="Arial" w:hAnsi="Arial" w:cs="Arial"/>
          <w:sz w:val="22"/>
          <w:szCs w:val="22"/>
        </w:rPr>
      </w:pPr>
      <w:r w:rsidRPr="00386B40">
        <w:rPr>
          <w:rFonts w:ascii="Arial" w:hAnsi="Arial" w:cs="Arial"/>
          <w:sz w:val="22"/>
          <w:szCs w:val="22"/>
        </w:rPr>
        <w:t xml:space="preserve">La movilización de estos fondos se realizará bien a través de actuaciones de ayudas y subvenciones a fondo perdido o bien mediante inversiones financieras, en función de las características y necesidades de cada segmento del sector energético objeto de las inversiones, así como de los criterios fijados por el Marco de Recuperación y Resiliencia. </w:t>
      </w:r>
    </w:p>
    <w:p w14:paraId="79DA68B7" w14:textId="34B5FEAC" w:rsidR="001A760A" w:rsidRDefault="00386B40" w:rsidP="00DF027D">
      <w:pPr>
        <w:spacing w:before="120" w:after="120" w:line="360" w:lineRule="auto"/>
        <w:ind w:firstLine="709"/>
        <w:jc w:val="both"/>
        <w:rPr>
          <w:rFonts w:ascii="Arial" w:hAnsi="Arial" w:cs="Arial"/>
          <w:sz w:val="22"/>
          <w:szCs w:val="22"/>
        </w:rPr>
      </w:pPr>
      <w:r w:rsidRPr="00386B40">
        <w:rPr>
          <w:rFonts w:ascii="Arial" w:hAnsi="Arial" w:cs="Arial"/>
          <w:sz w:val="22"/>
          <w:szCs w:val="22"/>
        </w:rPr>
        <w:t xml:space="preserve">Con ello se pretende implementar las medidas prevista en el PNIEC para la gestión de incentivos públicos y el dar cumplimiento a los objetivos establecidos para el 2030: eficiencia energética, </w:t>
      </w:r>
      <w:proofErr w:type="spellStart"/>
      <w:r w:rsidRPr="00386B40">
        <w:rPr>
          <w:rFonts w:ascii="Arial" w:hAnsi="Arial" w:cs="Arial"/>
          <w:sz w:val="22"/>
          <w:szCs w:val="22"/>
        </w:rPr>
        <w:t>descarbonización</w:t>
      </w:r>
      <w:proofErr w:type="spellEnd"/>
      <w:r w:rsidRPr="00386B40">
        <w:rPr>
          <w:rFonts w:ascii="Arial" w:hAnsi="Arial" w:cs="Arial"/>
          <w:sz w:val="22"/>
          <w:szCs w:val="22"/>
        </w:rPr>
        <w:t xml:space="preserve"> y energías renovables</w:t>
      </w:r>
      <w:r w:rsidR="00A04914" w:rsidRPr="00A04914">
        <w:rPr>
          <w:rFonts w:ascii="Arial" w:hAnsi="Arial" w:cs="Arial"/>
          <w:sz w:val="22"/>
          <w:szCs w:val="22"/>
        </w:rPr>
        <w:t>.</w:t>
      </w:r>
    </w:p>
    <w:p w14:paraId="53D48389" w14:textId="30041E6B" w:rsidR="00517824" w:rsidRPr="00DF027D" w:rsidRDefault="00DF027D" w:rsidP="00DF027D">
      <w:pPr>
        <w:rPr>
          <w:rFonts w:ascii="Arial" w:hAnsi="Arial" w:cs="Arial"/>
          <w:sz w:val="22"/>
          <w:szCs w:val="22"/>
        </w:rPr>
      </w:pPr>
      <w:r>
        <w:rPr>
          <w:rFonts w:ascii="Arial" w:hAnsi="Arial" w:cs="Arial"/>
          <w:sz w:val="22"/>
          <w:szCs w:val="22"/>
        </w:rPr>
        <w:br w:type="page"/>
      </w:r>
      <w:r w:rsidR="00517824" w:rsidRPr="00517824">
        <w:rPr>
          <w:rFonts w:ascii="Arial" w:hAnsi="Arial" w:cs="Arial"/>
          <w:b/>
          <w:sz w:val="22"/>
          <w:szCs w:val="22"/>
        </w:rPr>
        <w:lastRenderedPageBreak/>
        <w:t xml:space="preserve">5. </w:t>
      </w:r>
      <w:r w:rsidR="00DA0018" w:rsidRPr="00517824">
        <w:rPr>
          <w:rFonts w:ascii="Arial" w:hAnsi="Arial" w:cs="Arial"/>
          <w:b/>
          <w:sz w:val="22"/>
          <w:szCs w:val="22"/>
        </w:rPr>
        <w:t>COSTE DE LA INVERSIÓN Y DISTRIBUCIÓN ANUALIZADA</w:t>
      </w:r>
    </w:p>
    <w:p w14:paraId="19C9C69F" w14:textId="601F1447" w:rsidR="00686BEE" w:rsidRPr="003760F5" w:rsidRDefault="003760F5" w:rsidP="00DF027D">
      <w:pPr>
        <w:spacing w:before="100"/>
        <w:jc w:val="right"/>
        <w:rPr>
          <w:rFonts w:ascii="Arial" w:hAnsi="Arial" w:cs="Arial"/>
          <w:b/>
          <w:sz w:val="18"/>
          <w:szCs w:val="18"/>
        </w:rPr>
      </w:pPr>
      <w:r>
        <w:rPr>
          <w:rFonts w:ascii="Arial" w:hAnsi="Arial" w:cs="Arial"/>
          <w:b/>
          <w:sz w:val="18"/>
          <w:szCs w:val="18"/>
        </w:rPr>
        <w:t>(M</w:t>
      </w:r>
      <w:r w:rsidR="00686BEE" w:rsidRPr="003760F5">
        <w:rPr>
          <w:rFonts w:ascii="Arial" w:hAnsi="Arial" w:cs="Arial"/>
          <w:b/>
          <w:sz w:val="18"/>
          <w:szCs w:val="18"/>
        </w:rPr>
        <w:t>iles de euros)</w:t>
      </w:r>
    </w:p>
    <w:tbl>
      <w:tblPr>
        <w:tblStyle w:val="Tablaconcuadrcula"/>
        <w:tblW w:w="8784"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10"/>
        <w:gridCol w:w="854"/>
        <w:gridCol w:w="816"/>
        <w:gridCol w:w="816"/>
        <w:gridCol w:w="816"/>
        <w:gridCol w:w="816"/>
        <w:gridCol w:w="816"/>
        <w:gridCol w:w="789"/>
        <w:gridCol w:w="951"/>
      </w:tblGrid>
      <w:tr w:rsidR="00517824" w:rsidRPr="007B760C" w14:paraId="2D944740" w14:textId="77777777" w:rsidTr="00AD7785">
        <w:trPr>
          <w:trHeight w:val="337"/>
          <w:tblHeader/>
          <w:jc w:val="center"/>
        </w:trPr>
        <w:tc>
          <w:tcPr>
            <w:tcW w:w="2110" w:type="dxa"/>
            <w:vAlign w:val="center"/>
          </w:tcPr>
          <w:p w14:paraId="5E2DEAFD" w14:textId="06B0D3A2" w:rsidR="00517824" w:rsidRPr="003760F5" w:rsidRDefault="00DF027D" w:rsidP="003760F5">
            <w:pPr>
              <w:spacing w:before="60" w:after="60"/>
              <w:ind w:left="31"/>
              <w:rPr>
                <w:rFonts w:ascii="Arial" w:hAnsi="Arial" w:cs="Arial"/>
                <w:b/>
                <w:sz w:val="18"/>
                <w:szCs w:val="18"/>
              </w:rPr>
            </w:pPr>
            <w:r w:rsidRPr="003760F5">
              <w:rPr>
                <w:rFonts w:ascii="Arial" w:hAnsi="Arial" w:cs="Arial"/>
                <w:b/>
                <w:sz w:val="18"/>
                <w:szCs w:val="18"/>
              </w:rPr>
              <w:t>PERIODIFICACIÓN</w:t>
            </w:r>
          </w:p>
        </w:tc>
        <w:tc>
          <w:tcPr>
            <w:tcW w:w="854" w:type="dxa"/>
            <w:vAlign w:val="center"/>
          </w:tcPr>
          <w:p w14:paraId="229CD9E8" w14:textId="2EA2A0CB"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2020</w:t>
            </w:r>
          </w:p>
        </w:tc>
        <w:tc>
          <w:tcPr>
            <w:tcW w:w="816" w:type="dxa"/>
            <w:vAlign w:val="center"/>
          </w:tcPr>
          <w:p w14:paraId="766065A1" w14:textId="7017A922"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2021</w:t>
            </w:r>
          </w:p>
        </w:tc>
        <w:tc>
          <w:tcPr>
            <w:tcW w:w="816" w:type="dxa"/>
            <w:vAlign w:val="center"/>
          </w:tcPr>
          <w:p w14:paraId="6B27D536" w14:textId="2ECEE2AA"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2022</w:t>
            </w:r>
          </w:p>
        </w:tc>
        <w:tc>
          <w:tcPr>
            <w:tcW w:w="816" w:type="dxa"/>
            <w:vAlign w:val="center"/>
          </w:tcPr>
          <w:p w14:paraId="722B5F0B" w14:textId="43D0B693"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2023</w:t>
            </w:r>
          </w:p>
        </w:tc>
        <w:tc>
          <w:tcPr>
            <w:tcW w:w="816" w:type="dxa"/>
            <w:vAlign w:val="center"/>
          </w:tcPr>
          <w:p w14:paraId="04EA0E87" w14:textId="410BFA3A"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2024</w:t>
            </w:r>
          </w:p>
        </w:tc>
        <w:tc>
          <w:tcPr>
            <w:tcW w:w="816" w:type="dxa"/>
            <w:vAlign w:val="center"/>
          </w:tcPr>
          <w:p w14:paraId="223C0951" w14:textId="113F2D70"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2025</w:t>
            </w:r>
          </w:p>
        </w:tc>
        <w:tc>
          <w:tcPr>
            <w:tcW w:w="789" w:type="dxa"/>
            <w:vAlign w:val="center"/>
          </w:tcPr>
          <w:p w14:paraId="743E2BB5" w14:textId="15F929F6"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2026</w:t>
            </w:r>
          </w:p>
        </w:tc>
        <w:tc>
          <w:tcPr>
            <w:tcW w:w="951" w:type="dxa"/>
            <w:vAlign w:val="center"/>
          </w:tcPr>
          <w:p w14:paraId="101FC34E" w14:textId="22551291" w:rsidR="00517824" w:rsidRPr="003760F5" w:rsidRDefault="00DF027D" w:rsidP="00DF027D">
            <w:pPr>
              <w:spacing w:before="60" w:after="60"/>
              <w:ind w:left="-83"/>
              <w:jc w:val="center"/>
              <w:rPr>
                <w:rFonts w:ascii="Arial" w:hAnsi="Arial" w:cs="Arial"/>
                <w:b/>
                <w:sz w:val="18"/>
                <w:szCs w:val="18"/>
              </w:rPr>
            </w:pPr>
            <w:r w:rsidRPr="003760F5">
              <w:rPr>
                <w:rFonts w:ascii="Arial" w:hAnsi="Arial" w:cs="Arial"/>
                <w:b/>
                <w:sz w:val="18"/>
                <w:szCs w:val="18"/>
              </w:rPr>
              <w:t>TOTAL</w:t>
            </w:r>
          </w:p>
        </w:tc>
      </w:tr>
      <w:tr w:rsidR="00517824" w:rsidRPr="007B760C" w14:paraId="0E2C8DDB" w14:textId="77777777" w:rsidTr="00AD7785">
        <w:trPr>
          <w:trHeight w:hRule="exact" w:val="340"/>
          <w:jc w:val="center"/>
        </w:trPr>
        <w:tc>
          <w:tcPr>
            <w:tcW w:w="2110" w:type="dxa"/>
            <w:vAlign w:val="center"/>
          </w:tcPr>
          <w:p w14:paraId="2C7E39C5" w14:textId="77777777" w:rsidR="00517824" w:rsidRPr="003760F5" w:rsidRDefault="00517824" w:rsidP="00DF027D">
            <w:pPr>
              <w:spacing w:before="60" w:after="60"/>
              <w:ind w:left="31"/>
              <w:rPr>
                <w:rFonts w:ascii="Arial" w:hAnsi="Arial" w:cs="Arial"/>
                <w:sz w:val="18"/>
                <w:szCs w:val="18"/>
              </w:rPr>
            </w:pPr>
            <w:r w:rsidRPr="003760F5">
              <w:rPr>
                <w:rFonts w:ascii="Arial" w:hAnsi="Arial" w:cs="Arial"/>
                <w:sz w:val="18"/>
                <w:szCs w:val="18"/>
              </w:rPr>
              <w:t>Coste del Mecanismo</w:t>
            </w:r>
          </w:p>
        </w:tc>
        <w:tc>
          <w:tcPr>
            <w:tcW w:w="854" w:type="dxa"/>
            <w:vAlign w:val="center"/>
          </w:tcPr>
          <w:p w14:paraId="017AF40A" w14:textId="77777777"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64F0E352" w14:textId="198DC981" w:rsidR="00517824" w:rsidRPr="003760F5" w:rsidRDefault="00A47B07" w:rsidP="00DF027D">
            <w:pPr>
              <w:spacing w:before="60" w:after="60"/>
              <w:ind w:left="-83"/>
              <w:jc w:val="right"/>
              <w:rPr>
                <w:rFonts w:ascii="Arial" w:hAnsi="Arial" w:cs="Arial"/>
                <w:sz w:val="18"/>
                <w:szCs w:val="18"/>
              </w:rPr>
            </w:pPr>
            <w:r w:rsidRPr="003760F5">
              <w:rPr>
                <w:rFonts w:ascii="Arial" w:hAnsi="Arial" w:cs="Arial"/>
                <w:sz w:val="18"/>
                <w:szCs w:val="18"/>
              </w:rPr>
              <w:t>4</w:t>
            </w:r>
            <w:r w:rsidR="00386B40" w:rsidRPr="003760F5">
              <w:rPr>
                <w:rFonts w:ascii="Arial" w:hAnsi="Arial" w:cs="Arial"/>
                <w:sz w:val="18"/>
                <w:szCs w:val="18"/>
              </w:rPr>
              <w:t>0</w:t>
            </w:r>
            <w:r w:rsidR="005424FE" w:rsidRPr="003760F5">
              <w:rPr>
                <w:rFonts w:ascii="Arial" w:hAnsi="Arial" w:cs="Arial"/>
                <w:sz w:val="18"/>
                <w:szCs w:val="18"/>
              </w:rPr>
              <w:t>0</w:t>
            </w:r>
            <w:r w:rsidR="00686BEE" w:rsidRPr="003760F5">
              <w:rPr>
                <w:rFonts w:ascii="Arial" w:hAnsi="Arial" w:cs="Arial"/>
                <w:sz w:val="18"/>
                <w:szCs w:val="18"/>
              </w:rPr>
              <w:t>.000</w:t>
            </w:r>
          </w:p>
        </w:tc>
        <w:tc>
          <w:tcPr>
            <w:tcW w:w="816" w:type="dxa"/>
            <w:vAlign w:val="center"/>
          </w:tcPr>
          <w:p w14:paraId="084DA9C5" w14:textId="049656BB" w:rsidR="00517824" w:rsidRPr="003760F5" w:rsidRDefault="00205F99" w:rsidP="00DF027D">
            <w:pPr>
              <w:spacing w:before="60" w:after="60"/>
              <w:ind w:left="-83"/>
              <w:jc w:val="right"/>
              <w:rPr>
                <w:rFonts w:ascii="Arial" w:hAnsi="Arial" w:cs="Arial"/>
                <w:sz w:val="18"/>
                <w:szCs w:val="18"/>
              </w:rPr>
            </w:pPr>
            <w:r w:rsidRPr="003760F5">
              <w:rPr>
                <w:rFonts w:ascii="Arial" w:hAnsi="Arial" w:cs="Arial"/>
                <w:sz w:val="18"/>
                <w:szCs w:val="18"/>
              </w:rPr>
              <w:t>5</w:t>
            </w:r>
            <w:r w:rsidR="00386B40" w:rsidRPr="003760F5">
              <w:rPr>
                <w:rFonts w:ascii="Arial" w:hAnsi="Arial" w:cs="Arial"/>
                <w:sz w:val="18"/>
                <w:szCs w:val="18"/>
              </w:rPr>
              <w:t>55</w:t>
            </w:r>
            <w:r w:rsidR="00686BEE" w:rsidRPr="003760F5">
              <w:rPr>
                <w:rFonts w:ascii="Arial" w:hAnsi="Arial" w:cs="Arial"/>
                <w:sz w:val="18"/>
                <w:szCs w:val="18"/>
              </w:rPr>
              <w:t>.000</w:t>
            </w:r>
          </w:p>
        </w:tc>
        <w:tc>
          <w:tcPr>
            <w:tcW w:w="816" w:type="dxa"/>
            <w:vAlign w:val="center"/>
          </w:tcPr>
          <w:p w14:paraId="26769581" w14:textId="6FD9E972" w:rsidR="00517824" w:rsidRPr="003760F5" w:rsidRDefault="00205F99" w:rsidP="00DF027D">
            <w:pPr>
              <w:spacing w:before="60" w:after="60"/>
              <w:ind w:left="-83"/>
              <w:jc w:val="right"/>
              <w:rPr>
                <w:rFonts w:ascii="Arial" w:hAnsi="Arial" w:cs="Arial"/>
                <w:sz w:val="18"/>
                <w:szCs w:val="18"/>
              </w:rPr>
            </w:pPr>
            <w:r w:rsidRPr="003760F5">
              <w:rPr>
                <w:rFonts w:ascii="Arial" w:hAnsi="Arial" w:cs="Arial"/>
                <w:sz w:val="18"/>
                <w:szCs w:val="18"/>
              </w:rPr>
              <w:t>6</w:t>
            </w:r>
            <w:r w:rsidR="00386B40" w:rsidRPr="003760F5">
              <w:rPr>
                <w:rFonts w:ascii="Arial" w:hAnsi="Arial" w:cs="Arial"/>
                <w:sz w:val="18"/>
                <w:szCs w:val="18"/>
              </w:rPr>
              <w:t>00</w:t>
            </w:r>
            <w:r w:rsidR="00686BEE" w:rsidRPr="003760F5">
              <w:rPr>
                <w:rFonts w:ascii="Arial" w:hAnsi="Arial" w:cs="Arial"/>
                <w:sz w:val="18"/>
                <w:szCs w:val="18"/>
              </w:rPr>
              <w:t>.000</w:t>
            </w:r>
          </w:p>
        </w:tc>
        <w:tc>
          <w:tcPr>
            <w:tcW w:w="816" w:type="dxa"/>
            <w:vAlign w:val="center"/>
          </w:tcPr>
          <w:p w14:paraId="2E522C6A" w14:textId="77777777"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217E9AFA" w14:textId="77777777" w:rsidR="00517824" w:rsidRPr="003760F5" w:rsidRDefault="00517824" w:rsidP="00DF027D">
            <w:pPr>
              <w:spacing w:before="60" w:after="60"/>
              <w:ind w:left="-83"/>
              <w:jc w:val="right"/>
              <w:rPr>
                <w:rFonts w:ascii="Arial" w:hAnsi="Arial" w:cs="Arial"/>
                <w:sz w:val="18"/>
                <w:szCs w:val="18"/>
              </w:rPr>
            </w:pPr>
          </w:p>
        </w:tc>
        <w:tc>
          <w:tcPr>
            <w:tcW w:w="789" w:type="dxa"/>
            <w:vAlign w:val="center"/>
          </w:tcPr>
          <w:p w14:paraId="110C32B4" w14:textId="77777777" w:rsidR="00517824" w:rsidRPr="003760F5" w:rsidRDefault="00517824" w:rsidP="00DF027D">
            <w:pPr>
              <w:spacing w:before="60" w:after="60"/>
              <w:ind w:left="-83"/>
              <w:jc w:val="right"/>
              <w:rPr>
                <w:rFonts w:ascii="Arial" w:hAnsi="Arial" w:cs="Arial"/>
                <w:sz w:val="18"/>
                <w:szCs w:val="18"/>
              </w:rPr>
            </w:pPr>
          </w:p>
        </w:tc>
        <w:tc>
          <w:tcPr>
            <w:tcW w:w="951" w:type="dxa"/>
            <w:vAlign w:val="center"/>
          </w:tcPr>
          <w:p w14:paraId="1C01DA9E" w14:textId="64CCB336" w:rsidR="00517824" w:rsidRPr="003760F5" w:rsidRDefault="00A47B07" w:rsidP="00DF027D">
            <w:pPr>
              <w:spacing w:before="60" w:after="60"/>
              <w:ind w:left="-83"/>
              <w:jc w:val="right"/>
              <w:rPr>
                <w:rFonts w:ascii="Arial" w:hAnsi="Arial" w:cs="Arial"/>
                <w:sz w:val="18"/>
                <w:szCs w:val="18"/>
              </w:rPr>
            </w:pPr>
            <w:r w:rsidRPr="003760F5">
              <w:rPr>
                <w:rFonts w:ascii="Arial" w:hAnsi="Arial" w:cs="Arial"/>
                <w:sz w:val="18"/>
                <w:szCs w:val="18"/>
              </w:rPr>
              <w:t>1.5</w:t>
            </w:r>
            <w:r w:rsidR="00386B40" w:rsidRPr="003760F5">
              <w:rPr>
                <w:rFonts w:ascii="Arial" w:hAnsi="Arial" w:cs="Arial"/>
                <w:sz w:val="18"/>
                <w:szCs w:val="18"/>
              </w:rPr>
              <w:t>55</w:t>
            </w:r>
            <w:r w:rsidR="00A04914" w:rsidRPr="003760F5">
              <w:rPr>
                <w:rFonts w:ascii="Arial" w:hAnsi="Arial" w:cs="Arial"/>
                <w:sz w:val="18"/>
                <w:szCs w:val="18"/>
              </w:rPr>
              <w:t>.0</w:t>
            </w:r>
            <w:r w:rsidR="00686BEE" w:rsidRPr="003760F5">
              <w:rPr>
                <w:rFonts w:ascii="Arial" w:hAnsi="Arial" w:cs="Arial"/>
                <w:sz w:val="18"/>
                <w:szCs w:val="18"/>
              </w:rPr>
              <w:t>00</w:t>
            </w:r>
          </w:p>
        </w:tc>
      </w:tr>
      <w:tr w:rsidR="00517824" w:rsidRPr="007B760C" w14:paraId="0D4CAD67" w14:textId="77777777" w:rsidTr="00AD7785">
        <w:trPr>
          <w:trHeight w:hRule="exact" w:val="340"/>
          <w:jc w:val="center"/>
        </w:trPr>
        <w:tc>
          <w:tcPr>
            <w:tcW w:w="2110" w:type="dxa"/>
            <w:vAlign w:val="center"/>
          </w:tcPr>
          <w:p w14:paraId="5E4AD5B6" w14:textId="77777777" w:rsidR="00517824" w:rsidRPr="003760F5" w:rsidRDefault="00517824" w:rsidP="00DF027D">
            <w:pPr>
              <w:spacing w:before="60" w:after="60"/>
              <w:ind w:left="31"/>
              <w:rPr>
                <w:rFonts w:ascii="Arial" w:hAnsi="Arial" w:cs="Arial"/>
                <w:sz w:val="18"/>
                <w:szCs w:val="18"/>
              </w:rPr>
            </w:pPr>
            <w:r w:rsidRPr="003760F5">
              <w:rPr>
                <w:rFonts w:ascii="Arial" w:hAnsi="Arial" w:cs="Arial"/>
                <w:sz w:val="18"/>
                <w:szCs w:val="18"/>
              </w:rPr>
              <w:t>Otra financiación</w:t>
            </w:r>
          </w:p>
        </w:tc>
        <w:tc>
          <w:tcPr>
            <w:tcW w:w="854" w:type="dxa"/>
            <w:vAlign w:val="center"/>
          </w:tcPr>
          <w:p w14:paraId="77F58812" w14:textId="610C8A62"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21721C64" w14:textId="43E91D0E"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31B7F9ED" w14:textId="24A4088F"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79FBCB84" w14:textId="0AA2DA79"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4BBB7FAA" w14:textId="11EB4AD7" w:rsidR="00517824" w:rsidRPr="003760F5" w:rsidRDefault="00517824" w:rsidP="00DF027D">
            <w:pPr>
              <w:spacing w:before="60" w:after="60"/>
              <w:ind w:left="-83"/>
              <w:jc w:val="right"/>
              <w:rPr>
                <w:rFonts w:ascii="Arial" w:hAnsi="Arial" w:cs="Arial"/>
                <w:sz w:val="18"/>
                <w:szCs w:val="18"/>
              </w:rPr>
            </w:pPr>
          </w:p>
        </w:tc>
        <w:tc>
          <w:tcPr>
            <w:tcW w:w="816" w:type="dxa"/>
            <w:vAlign w:val="center"/>
          </w:tcPr>
          <w:p w14:paraId="731D6835" w14:textId="6096BD5C" w:rsidR="00517824" w:rsidRPr="003760F5" w:rsidRDefault="00517824" w:rsidP="00DF027D">
            <w:pPr>
              <w:spacing w:before="60" w:after="60"/>
              <w:ind w:left="-83"/>
              <w:jc w:val="right"/>
              <w:rPr>
                <w:rFonts w:ascii="Arial" w:hAnsi="Arial" w:cs="Arial"/>
                <w:sz w:val="18"/>
                <w:szCs w:val="18"/>
              </w:rPr>
            </w:pPr>
          </w:p>
        </w:tc>
        <w:tc>
          <w:tcPr>
            <w:tcW w:w="789" w:type="dxa"/>
            <w:vAlign w:val="center"/>
          </w:tcPr>
          <w:p w14:paraId="4A33B616" w14:textId="0A04434E" w:rsidR="00517824" w:rsidRPr="003760F5" w:rsidRDefault="00517824" w:rsidP="00DF027D">
            <w:pPr>
              <w:spacing w:before="60" w:after="60"/>
              <w:ind w:left="-83"/>
              <w:jc w:val="right"/>
              <w:rPr>
                <w:rFonts w:ascii="Arial" w:hAnsi="Arial" w:cs="Arial"/>
                <w:sz w:val="18"/>
                <w:szCs w:val="18"/>
              </w:rPr>
            </w:pPr>
          </w:p>
        </w:tc>
        <w:tc>
          <w:tcPr>
            <w:tcW w:w="951" w:type="dxa"/>
            <w:vAlign w:val="center"/>
          </w:tcPr>
          <w:p w14:paraId="3CDD3525" w14:textId="5FF6616C" w:rsidR="00517824" w:rsidRPr="003760F5" w:rsidRDefault="00517824" w:rsidP="00DF027D">
            <w:pPr>
              <w:spacing w:before="60" w:after="60"/>
              <w:ind w:left="-83"/>
              <w:jc w:val="right"/>
              <w:rPr>
                <w:rFonts w:ascii="Arial" w:hAnsi="Arial" w:cs="Arial"/>
                <w:sz w:val="18"/>
                <w:szCs w:val="18"/>
              </w:rPr>
            </w:pPr>
          </w:p>
        </w:tc>
      </w:tr>
      <w:tr w:rsidR="00A47B07" w:rsidRPr="007B760C" w14:paraId="5858B578" w14:textId="77777777" w:rsidTr="00AD7785">
        <w:trPr>
          <w:trHeight w:hRule="exact" w:val="340"/>
          <w:jc w:val="center"/>
        </w:trPr>
        <w:tc>
          <w:tcPr>
            <w:tcW w:w="2110" w:type="dxa"/>
            <w:vAlign w:val="center"/>
          </w:tcPr>
          <w:p w14:paraId="51A4FD8B" w14:textId="34C77C38" w:rsidR="00A47B07" w:rsidRPr="003760F5" w:rsidRDefault="00F37273" w:rsidP="00DF027D">
            <w:pPr>
              <w:spacing w:before="60" w:after="60"/>
              <w:ind w:left="31"/>
              <w:rPr>
                <w:rFonts w:ascii="Arial" w:hAnsi="Arial" w:cs="Arial"/>
                <w:b/>
                <w:sz w:val="18"/>
                <w:szCs w:val="18"/>
              </w:rPr>
            </w:pPr>
            <w:r w:rsidRPr="003760F5">
              <w:rPr>
                <w:rFonts w:ascii="Arial" w:hAnsi="Arial" w:cs="Arial"/>
                <w:b/>
                <w:sz w:val="18"/>
                <w:szCs w:val="18"/>
              </w:rPr>
              <w:t>TOTAL</w:t>
            </w:r>
          </w:p>
        </w:tc>
        <w:tc>
          <w:tcPr>
            <w:tcW w:w="854" w:type="dxa"/>
            <w:vAlign w:val="center"/>
          </w:tcPr>
          <w:p w14:paraId="419F8F05" w14:textId="2C83C2D4" w:rsidR="00A47B07" w:rsidRPr="003760F5" w:rsidRDefault="00A47B07" w:rsidP="00DF027D">
            <w:pPr>
              <w:spacing w:before="60" w:after="60"/>
              <w:ind w:left="-83"/>
              <w:jc w:val="right"/>
              <w:rPr>
                <w:rFonts w:ascii="Arial" w:hAnsi="Arial" w:cs="Arial"/>
                <w:sz w:val="18"/>
                <w:szCs w:val="18"/>
              </w:rPr>
            </w:pPr>
          </w:p>
        </w:tc>
        <w:tc>
          <w:tcPr>
            <w:tcW w:w="816" w:type="dxa"/>
            <w:vAlign w:val="center"/>
          </w:tcPr>
          <w:p w14:paraId="213E7E45" w14:textId="536287CC" w:rsidR="00A47B07" w:rsidRPr="003760F5" w:rsidRDefault="00F37273" w:rsidP="00DF027D">
            <w:pPr>
              <w:spacing w:before="60" w:after="60"/>
              <w:ind w:left="-83"/>
              <w:jc w:val="right"/>
              <w:rPr>
                <w:rFonts w:ascii="Arial" w:hAnsi="Arial" w:cs="Arial"/>
                <w:sz w:val="18"/>
                <w:szCs w:val="18"/>
              </w:rPr>
            </w:pPr>
            <w:r w:rsidRPr="003760F5">
              <w:rPr>
                <w:rFonts w:ascii="Arial" w:hAnsi="Arial" w:cs="Arial"/>
                <w:sz w:val="18"/>
                <w:szCs w:val="18"/>
              </w:rPr>
              <w:t>400.000</w:t>
            </w:r>
          </w:p>
        </w:tc>
        <w:tc>
          <w:tcPr>
            <w:tcW w:w="816" w:type="dxa"/>
            <w:vAlign w:val="center"/>
          </w:tcPr>
          <w:p w14:paraId="757EF388" w14:textId="5DCB7853" w:rsidR="00A47B07" w:rsidRPr="003760F5" w:rsidRDefault="00F37273" w:rsidP="00DF027D">
            <w:pPr>
              <w:spacing w:before="60" w:after="60"/>
              <w:ind w:left="-83"/>
              <w:jc w:val="right"/>
              <w:rPr>
                <w:rFonts w:ascii="Arial" w:hAnsi="Arial" w:cs="Arial"/>
                <w:sz w:val="18"/>
                <w:szCs w:val="18"/>
              </w:rPr>
            </w:pPr>
            <w:r w:rsidRPr="003760F5">
              <w:rPr>
                <w:rFonts w:ascii="Arial" w:hAnsi="Arial" w:cs="Arial"/>
                <w:sz w:val="18"/>
                <w:szCs w:val="18"/>
              </w:rPr>
              <w:t>555.000</w:t>
            </w:r>
          </w:p>
        </w:tc>
        <w:tc>
          <w:tcPr>
            <w:tcW w:w="816" w:type="dxa"/>
            <w:vAlign w:val="center"/>
          </w:tcPr>
          <w:p w14:paraId="225199C6" w14:textId="18E7DB11" w:rsidR="00A47B07" w:rsidRPr="003760F5" w:rsidRDefault="00F37273" w:rsidP="00DF027D">
            <w:pPr>
              <w:spacing w:before="60" w:after="60"/>
              <w:ind w:left="-83"/>
              <w:jc w:val="right"/>
              <w:rPr>
                <w:rFonts w:ascii="Arial" w:hAnsi="Arial" w:cs="Arial"/>
                <w:sz w:val="18"/>
                <w:szCs w:val="18"/>
              </w:rPr>
            </w:pPr>
            <w:r w:rsidRPr="003760F5">
              <w:rPr>
                <w:rFonts w:ascii="Arial" w:hAnsi="Arial" w:cs="Arial"/>
                <w:sz w:val="18"/>
                <w:szCs w:val="18"/>
              </w:rPr>
              <w:t>600.000</w:t>
            </w:r>
          </w:p>
        </w:tc>
        <w:tc>
          <w:tcPr>
            <w:tcW w:w="816" w:type="dxa"/>
            <w:vAlign w:val="center"/>
          </w:tcPr>
          <w:p w14:paraId="2F851407" w14:textId="0CC4347B" w:rsidR="00A47B07" w:rsidRPr="003760F5" w:rsidRDefault="00A47B07" w:rsidP="00DF027D">
            <w:pPr>
              <w:spacing w:before="60" w:after="60"/>
              <w:ind w:left="-83"/>
              <w:jc w:val="right"/>
              <w:rPr>
                <w:rFonts w:ascii="Arial" w:hAnsi="Arial" w:cs="Arial"/>
                <w:sz w:val="18"/>
                <w:szCs w:val="18"/>
              </w:rPr>
            </w:pPr>
          </w:p>
        </w:tc>
        <w:tc>
          <w:tcPr>
            <w:tcW w:w="816" w:type="dxa"/>
            <w:vAlign w:val="center"/>
          </w:tcPr>
          <w:p w14:paraId="1F5E14E1" w14:textId="391C465D" w:rsidR="00A47B07" w:rsidRPr="003760F5" w:rsidRDefault="00A47B07" w:rsidP="00DF027D">
            <w:pPr>
              <w:spacing w:before="60" w:after="60"/>
              <w:ind w:left="-83"/>
              <w:jc w:val="right"/>
              <w:rPr>
                <w:rFonts w:ascii="Arial" w:hAnsi="Arial" w:cs="Arial"/>
                <w:sz w:val="18"/>
                <w:szCs w:val="18"/>
              </w:rPr>
            </w:pPr>
          </w:p>
        </w:tc>
        <w:tc>
          <w:tcPr>
            <w:tcW w:w="789" w:type="dxa"/>
            <w:vAlign w:val="center"/>
          </w:tcPr>
          <w:p w14:paraId="7753C863" w14:textId="7A08A7DA" w:rsidR="00A47B07" w:rsidRPr="003760F5" w:rsidRDefault="00A47B07" w:rsidP="00DF027D">
            <w:pPr>
              <w:spacing w:before="60" w:after="60"/>
              <w:ind w:left="-83"/>
              <w:jc w:val="right"/>
              <w:rPr>
                <w:rFonts w:ascii="Arial" w:hAnsi="Arial" w:cs="Arial"/>
                <w:sz w:val="18"/>
                <w:szCs w:val="18"/>
              </w:rPr>
            </w:pPr>
          </w:p>
        </w:tc>
        <w:tc>
          <w:tcPr>
            <w:tcW w:w="951" w:type="dxa"/>
            <w:vAlign w:val="center"/>
          </w:tcPr>
          <w:p w14:paraId="643B7732" w14:textId="572A7BA5" w:rsidR="00A47B07" w:rsidRPr="003760F5" w:rsidRDefault="00F37273" w:rsidP="00DF027D">
            <w:pPr>
              <w:spacing w:before="60" w:after="60"/>
              <w:ind w:left="-83"/>
              <w:jc w:val="right"/>
              <w:rPr>
                <w:rFonts w:ascii="Arial" w:hAnsi="Arial" w:cs="Arial"/>
                <w:sz w:val="18"/>
                <w:szCs w:val="18"/>
              </w:rPr>
            </w:pPr>
            <w:r w:rsidRPr="003760F5">
              <w:rPr>
                <w:rFonts w:ascii="Arial" w:hAnsi="Arial" w:cs="Arial"/>
                <w:sz w:val="18"/>
                <w:szCs w:val="18"/>
              </w:rPr>
              <w:t>1.555.000</w:t>
            </w:r>
          </w:p>
        </w:tc>
      </w:tr>
    </w:tbl>
    <w:p w14:paraId="712CFB5D" w14:textId="34BE04C4"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DA0018" w:rsidRPr="00517824">
        <w:rPr>
          <w:rFonts w:ascii="Arial" w:hAnsi="Arial" w:cs="Arial"/>
          <w:b/>
          <w:sz w:val="22"/>
          <w:szCs w:val="22"/>
        </w:rPr>
        <w:t xml:space="preserve">HITOS Y OBJETIVOS DE LA INVERSIÓN </w:t>
      </w:r>
    </w:p>
    <w:p w14:paraId="65B3FFE4" w14:textId="77777777" w:rsidR="00F54D02" w:rsidRDefault="00386B40" w:rsidP="00686BEE">
      <w:pPr>
        <w:spacing w:before="120" w:after="120" w:line="360" w:lineRule="exact"/>
        <w:ind w:firstLine="360"/>
        <w:jc w:val="both"/>
        <w:rPr>
          <w:rFonts w:ascii="Arial" w:hAnsi="Arial" w:cs="Arial"/>
          <w:sz w:val="22"/>
          <w:szCs w:val="22"/>
        </w:rPr>
      </w:pPr>
      <w:r w:rsidRPr="00386B40">
        <w:rPr>
          <w:rFonts w:ascii="Arial" w:hAnsi="Arial" w:cs="Arial"/>
          <w:sz w:val="22"/>
          <w:szCs w:val="22"/>
        </w:rPr>
        <w:t xml:space="preserve">Se plantea </w:t>
      </w:r>
      <w:r>
        <w:rPr>
          <w:rFonts w:ascii="Arial" w:hAnsi="Arial" w:cs="Arial"/>
          <w:sz w:val="22"/>
          <w:szCs w:val="22"/>
        </w:rPr>
        <w:t>como actuación sobre el h</w:t>
      </w:r>
      <w:r w:rsidRPr="00386B40">
        <w:rPr>
          <w:rFonts w:ascii="Arial" w:hAnsi="Arial" w:cs="Arial"/>
          <w:sz w:val="22"/>
          <w:szCs w:val="22"/>
        </w:rPr>
        <w:t>idr</w:t>
      </w:r>
      <w:r>
        <w:rPr>
          <w:rFonts w:ascii="Arial" w:hAnsi="Arial" w:cs="Arial"/>
          <w:sz w:val="22"/>
          <w:szCs w:val="22"/>
        </w:rPr>
        <w:t>ó</w:t>
      </w:r>
      <w:r w:rsidRPr="00386B40">
        <w:rPr>
          <w:rFonts w:ascii="Arial" w:hAnsi="Arial" w:cs="Arial"/>
          <w:sz w:val="22"/>
          <w:szCs w:val="22"/>
        </w:rPr>
        <w:t>geno</w:t>
      </w:r>
      <w:r w:rsidR="00F54D02">
        <w:rPr>
          <w:rFonts w:ascii="Arial" w:hAnsi="Arial" w:cs="Arial"/>
          <w:sz w:val="22"/>
          <w:szCs w:val="22"/>
        </w:rPr>
        <w:t xml:space="preserve"> renovable fomentar:</w:t>
      </w:r>
    </w:p>
    <w:p w14:paraId="456CB741" w14:textId="77777777" w:rsidR="00F54D02" w:rsidRDefault="00F54D02" w:rsidP="00205F99">
      <w:pPr>
        <w:pStyle w:val="Prrafodelista"/>
        <w:numPr>
          <w:ilvl w:val="0"/>
          <w:numId w:val="10"/>
        </w:numPr>
        <w:spacing w:before="120" w:after="120" w:line="360" w:lineRule="exact"/>
        <w:jc w:val="both"/>
        <w:rPr>
          <w:rFonts w:ascii="Arial" w:hAnsi="Arial" w:cs="Arial"/>
          <w:sz w:val="22"/>
          <w:szCs w:val="22"/>
        </w:rPr>
      </w:pPr>
      <w:r>
        <w:rPr>
          <w:rFonts w:ascii="Arial" w:hAnsi="Arial" w:cs="Arial"/>
          <w:sz w:val="22"/>
          <w:szCs w:val="22"/>
        </w:rPr>
        <w:t>Al menos 500 MW de electrolisis autorizados, en línea con los objetivos intermedios de la Hoja de Ruta de Hidrógeno.</w:t>
      </w:r>
    </w:p>
    <w:p w14:paraId="76BF01E4" w14:textId="60FB7F89" w:rsidR="00F54D02" w:rsidRDefault="00F54D02" w:rsidP="00205F99">
      <w:pPr>
        <w:pStyle w:val="Prrafodelista"/>
        <w:numPr>
          <w:ilvl w:val="0"/>
          <w:numId w:val="10"/>
        </w:numPr>
        <w:spacing w:before="120" w:after="120" w:line="360" w:lineRule="exact"/>
        <w:jc w:val="both"/>
        <w:rPr>
          <w:rFonts w:ascii="Arial" w:hAnsi="Arial" w:cs="Arial"/>
          <w:sz w:val="22"/>
          <w:szCs w:val="22"/>
        </w:rPr>
      </w:pPr>
      <w:r>
        <w:rPr>
          <w:rFonts w:ascii="Arial" w:hAnsi="Arial" w:cs="Arial"/>
          <w:sz w:val="22"/>
          <w:szCs w:val="22"/>
        </w:rPr>
        <w:t>E</w:t>
      </w:r>
      <w:r w:rsidR="00386B40" w:rsidRPr="00205F99">
        <w:rPr>
          <w:rFonts w:ascii="Arial" w:hAnsi="Arial" w:cs="Arial"/>
          <w:sz w:val="22"/>
          <w:szCs w:val="22"/>
        </w:rPr>
        <w:t xml:space="preserve">l desarrollo de </w:t>
      </w:r>
      <w:r w:rsidRPr="00205F99">
        <w:rPr>
          <w:rFonts w:ascii="Arial" w:hAnsi="Arial" w:cs="Arial"/>
          <w:sz w:val="22"/>
          <w:szCs w:val="22"/>
        </w:rPr>
        <w:t xml:space="preserve">las </w:t>
      </w:r>
      <w:proofErr w:type="spellStart"/>
      <w:r w:rsidRPr="00205F99">
        <w:rPr>
          <w:rFonts w:ascii="Arial" w:hAnsi="Arial" w:cs="Arial"/>
          <w:sz w:val="22"/>
          <w:szCs w:val="22"/>
        </w:rPr>
        <w:t>PYMEs</w:t>
      </w:r>
      <w:proofErr w:type="spellEnd"/>
      <w:r>
        <w:rPr>
          <w:rFonts w:ascii="Arial" w:hAnsi="Arial" w:cs="Arial"/>
          <w:sz w:val="22"/>
          <w:szCs w:val="22"/>
        </w:rPr>
        <w:t xml:space="preserve"> con el objetivo de reforzar la cadena de valor española del hidrógeno.</w:t>
      </w:r>
    </w:p>
    <w:p w14:paraId="18B87A65" w14:textId="77777777" w:rsidR="00F54D02" w:rsidRDefault="00F54D02" w:rsidP="00205F99">
      <w:pPr>
        <w:pStyle w:val="Prrafodelista"/>
        <w:numPr>
          <w:ilvl w:val="0"/>
          <w:numId w:val="10"/>
        </w:numPr>
        <w:spacing w:before="120" w:after="120" w:line="360" w:lineRule="exact"/>
        <w:jc w:val="both"/>
        <w:rPr>
          <w:rFonts w:ascii="Arial" w:hAnsi="Arial" w:cs="Arial"/>
          <w:sz w:val="22"/>
          <w:szCs w:val="22"/>
        </w:rPr>
      </w:pPr>
      <w:r>
        <w:rPr>
          <w:rFonts w:ascii="Arial" w:hAnsi="Arial" w:cs="Arial"/>
          <w:sz w:val="22"/>
          <w:szCs w:val="22"/>
        </w:rPr>
        <w:t>El avance tecnológico y el desarrollo de prototipos.</w:t>
      </w:r>
    </w:p>
    <w:p w14:paraId="783C4430" w14:textId="77777777" w:rsidR="00F54D02" w:rsidRDefault="00F54D02" w:rsidP="00205F99">
      <w:pPr>
        <w:pStyle w:val="Prrafodelista"/>
        <w:numPr>
          <w:ilvl w:val="0"/>
          <w:numId w:val="10"/>
        </w:numPr>
        <w:spacing w:before="120" w:after="120" w:line="360" w:lineRule="exact"/>
        <w:jc w:val="both"/>
        <w:rPr>
          <w:rFonts w:ascii="Arial" w:hAnsi="Arial" w:cs="Arial"/>
          <w:sz w:val="22"/>
          <w:szCs w:val="22"/>
        </w:rPr>
      </w:pPr>
      <w:r>
        <w:rPr>
          <w:rFonts w:ascii="Arial" w:hAnsi="Arial" w:cs="Arial"/>
          <w:sz w:val="22"/>
          <w:szCs w:val="22"/>
        </w:rPr>
        <w:t xml:space="preserve">El Impulso de uno o varios clústeres de hidrógeno renovable donde </w:t>
      </w:r>
      <w:bookmarkStart w:id="0" w:name="_GoBack"/>
      <w:bookmarkEnd w:id="0"/>
      <w:r>
        <w:rPr>
          <w:rFonts w:ascii="Arial" w:hAnsi="Arial" w:cs="Arial"/>
          <w:sz w:val="22"/>
          <w:szCs w:val="22"/>
        </w:rPr>
        <w:t>se integre localmente tanto la producción como el consumo.</w:t>
      </w:r>
    </w:p>
    <w:p w14:paraId="3B10DAED" w14:textId="30559ACE" w:rsidR="008620A4" w:rsidRPr="00205F99" w:rsidRDefault="00F54D02" w:rsidP="00205F99">
      <w:pPr>
        <w:pStyle w:val="Prrafodelista"/>
        <w:numPr>
          <w:ilvl w:val="0"/>
          <w:numId w:val="10"/>
        </w:numPr>
        <w:spacing w:before="120" w:after="120" w:line="360" w:lineRule="exact"/>
        <w:jc w:val="both"/>
        <w:rPr>
          <w:rFonts w:ascii="Arial" w:hAnsi="Arial" w:cs="Arial"/>
          <w:sz w:val="22"/>
          <w:szCs w:val="22"/>
        </w:rPr>
      </w:pPr>
      <w:r>
        <w:rPr>
          <w:rFonts w:ascii="Arial" w:hAnsi="Arial" w:cs="Arial"/>
          <w:sz w:val="22"/>
          <w:szCs w:val="22"/>
        </w:rPr>
        <w:t xml:space="preserve">El desarrollo de </w:t>
      </w:r>
      <w:r w:rsidR="00386B40" w:rsidRPr="00205F99">
        <w:rPr>
          <w:rFonts w:ascii="Arial" w:hAnsi="Arial" w:cs="Arial"/>
          <w:sz w:val="22"/>
          <w:szCs w:val="22"/>
        </w:rPr>
        <w:t>proyectos pioneros de dimensión regional que permitan la introducción del hidrógeno renovable en áreas regionales y sistemas energéticos aislados.</w:t>
      </w:r>
    </w:p>
    <w:sectPr w:rsidR="008620A4" w:rsidRPr="00205F99" w:rsidSect="00DF027D">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0BB"/>
    <w:multiLevelType w:val="hybridMultilevel"/>
    <w:tmpl w:val="2F8440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4C11B63"/>
    <w:multiLevelType w:val="hybridMultilevel"/>
    <w:tmpl w:val="ABF082FA"/>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A156E09"/>
    <w:multiLevelType w:val="hybridMultilevel"/>
    <w:tmpl w:val="1AA6C46C"/>
    <w:lvl w:ilvl="0" w:tplc="3C62EF12">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B0C04A0"/>
    <w:multiLevelType w:val="hybridMultilevel"/>
    <w:tmpl w:val="1F14AE22"/>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89779FD"/>
    <w:multiLevelType w:val="hybridMultilevel"/>
    <w:tmpl w:val="63FAC3CC"/>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0C9300A"/>
    <w:multiLevelType w:val="hybridMultilevel"/>
    <w:tmpl w:val="76CE4A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3136E21"/>
    <w:multiLevelType w:val="hybridMultilevel"/>
    <w:tmpl w:val="66AC3E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7C52050"/>
    <w:multiLevelType w:val="hybridMultilevel"/>
    <w:tmpl w:val="BCBAC484"/>
    <w:lvl w:ilvl="0" w:tplc="629C8C3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2"/>
  </w:num>
  <w:num w:numId="5">
    <w:abstractNumId w:val="8"/>
  </w:num>
  <w:num w:numId="6">
    <w:abstractNumId w:val="3"/>
  </w:num>
  <w:num w:numId="7">
    <w:abstractNumId w:val="4"/>
  </w:num>
  <w:num w:numId="8">
    <w:abstractNumId w:val="5"/>
  </w:num>
  <w:num w:numId="9">
    <w:abstractNumId w:val="10"/>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92A6A"/>
    <w:rsid w:val="000A1311"/>
    <w:rsid w:val="000C68A4"/>
    <w:rsid w:val="000F3FBB"/>
    <w:rsid w:val="001A5F87"/>
    <w:rsid w:val="001A760A"/>
    <w:rsid w:val="001B34B9"/>
    <w:rsid w:val="00205F99"/>
    <w:rsid w:val="00234E47"/>
    <w:rsid w:val="002F0C59"/>
    <w:rsid w:val="003154A2"/>
    <w:rsid w:val="003208C4"/>
    <w:rsid w:val="00343745"/>
    <w:rsid w:val="003760F5"/>
    <w:rsid w:val="00382F6E"/>
    <w:rsid w:val="00386B40"/>
    <w:rsid w:val="00397A1D"/>
    <w:rsid w:val="003A7E9B"/>
    <w:rsid w:val="003B4F67"/>
    <w:rsid w:val="003D56D8"/>
    <w:rsid w:val="0046397C"/>
    <w:rsid w:val="00517824"/>
    <w:rsid w:val="005424FE"/>
    <w:rsid w:val="005570AD"/>
    <w:rsid w:val="00564761"/>
    <w:rsid w:val="00595CD4"/>
    <w:rsid w:val="005B477A"/>
    <w:rsid w:val="005C4BF4"/>
    <w:rsid w:val="00646918"/>
    <w:rsid w:val="00686BEE"/>
    <w:rsid w:val="006A0066"/>
    <w:rsid w:val="006C54B9"/>
    <w:rsid w:val="006F018F"/>
    <w:rsid w:val="0070353F"/>
    <w:rsid w:val="00717882"/>
    <w:rsid w:val="00737BB1"/>
    <w:rsid w:val="007B6373"/>
    <w:rsid w:val="007B760C"/>
    <w:rsid w:val="007E37FC"/>
    <w:rsid w:val="007F3B1F"/>
    <w:rsid w:val="008076C5"/>
    <w:rsid w:val="008156FE"/>
    <w:rsid w:val="0081752E"/>
    <w:rsid w:val="008476C0"/>
    <w:rsid w:val="008620A4"/>
    <w:rsid w:val="008B3CA0"/>
    <w:rsid w:val="008B6C42"/>
    <w:rsid w:val="008D6462"/>
    <w:rsid w:val="008F0C79"/>
    <w:rsid w:val="0093453B"/>
    <w:rsid w:val="00952F88"/>
    <w:rsid w:val="00991697"/>
    <w:rsid w:val="009A64D7"/>
    <w:rsid w:val="009A7074"/>
    <w:rsid w:val="009C75A3"/>
    <w:rsid w:val="00A03BC2"/>
    <w:rsid w:val="00A04914"/>
    <w:rsid w:val="00A06941"/>
    <w:rsid w:val="00A32DF7"/>
    <w:rsid w:val="00A44DEA"/>
    <w:rsid w:val="00A47B07"/>
    <w:rsid w:val="00A9503D"/>
    <w:rsid w:val="00AD7785"/>
    <w:rsid w:val="00AE318F"/>
    <w:rsid w:val="00B30BB6"/>
    <w:rsid w:val="00B6769D"/>
    <w:rsid w:val="00B80D92"/>
    <w:rsid w:val="00BB64BC"/>
    <w:rsid w:val="00BE5B5A"/>
    <w:rsid w:val="00C017AE"/>
    <w:rsid w:val="00C0204D"/>
    <w:rsid w:val="00C87CB2"/>
    <w:rsid w:val="00CA5DBC"/>
    <w:rsid w:val="00CB75ED"/>
    <w:rsid w:val="00D46D8D"/>
    <w:rsid w:val="00D7729A"/>
    <w:rsid w:val="00DA0018"/>
    <w:rsid w:val="00DF027D"/>
    <w:rsid w:val="00ED092E"/>
    <w:rsid w:val="00F23DCF"/>
    <w:rsid w:val="00F37273"/>
    <w:rsid w:val="00F54D02"/>
    <w:rsid w:val="00F77318"/>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95C6E"/>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styleId="Refdecomentario">
    <w:name w:val="annotation reference"/>
    <w:basedOn w:val="Fuentedeprrafopredeter"/>
    <w:semiHidden/>
    <w:unhideWhenUsed/>
    <w:rsid w:val="00F54D02"/>
    <w:rPr>
      <w:sz w:val="16"/>
      <w:szCs w:val="16"/>
    </w:rPr>
  </w:style>
  <w:style w:type="paragraph" w:styleId="Textocomentario">
    <w:name w:val="annotation text"/>
    <w:basedOn w:val="Normal"/>
    <w:link w:val="TextocomentarioCar"/>
    <w:semiHidden/>
    <w:unhideWhenUsed/>
    <w:rsid w:val="00F54D02"/>
  </w:style>
  <w:style w:type="character" w:customStyle="1" w:styleId="TextocomentarioCar">
    <w:name w:val="Texto comentario Car"/>
    <w:basedOn w:val="Fuentedeprrafopredeter"/>
    <w:link w:val="Textocomentario"/>
    <w:semiHidden/>
    <w:rsid w:val="00F54D02"/>
    <w:rPr>
      <w:lang w:val="es-ES_tradnl"/>
    </w:rPr>
  </w:style>
  <w:style w:type="paragraph" w:styleId="Asuntodelcomentario">
    <w:name w:val="annotation subject"/>
    <w:basedOn w:val="Textocomentario"/>
    <w:next w:val="Textocomentario"/>
    <w:link w:val="AsuntodelcomentarioCar"/>
    <w:semiHidden/>
    <w:unhideWhenUsed/>
    <w:rsid w:val="00F54D02"/>
    <w:rPr>
      <w:b/>
      <w:bCs/>
    </w:rPr>
  </w:style>
  <w:style w:type="character" w:customStyle="1" w:styleId="AsuntodelcomentarioCar">
    <w:name w:val="Asunto del comentario Car"/>
    <w:basedOn w:val="TextocomentarioCar"/>
    <w:link w:val="Asuntodelcomentario"/>
    <w:semiHidden/>
    <w:rsid w:val="00F54D02"/>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00AEB-2F1F-4FB9-A22D-7249719F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766</Words>
  <Characters>4516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Diaz Martinez, Ruben</cp:lastModifiedBy>
  <cp:revision>19</cp:revision>
  <cp:lastPrinted>2021-07-20T15:49:00Z</cp:lastPrinted>
  <dcterms:created xsi:type="dcterms:W3CDTF">2021-07-13T13:26:00Z</dcterms:created>
  <dcterms:modified xsi:type="dcterms:W3CDTF">2022-01-19T14:00:00Z</dcterms:modified>
</cp:coreProperties>
</file>